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90247">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黑体" w:hAnsi="黑体" w:eastAsia="黑体" w:cs="黑体"/>
          <w:snapToGrid w:val="0"/>
          <w:color w:val="000000"/>
          <w:spacing w:val="-4"/>
          <w:kern w:val="0"/>
          <w:sz w:val="31"/>
          <w:szCs w:val="31"/>
          <w:lang w:eastAsia="zh-CN"/>
        </w:rPr>
      </w:pPr>
      <w:r>
        <w:rPr>
          <w:rFonts w:hint="eastAsia" w:ascii="黑体" w:hAnsi="黑体" w:eastAsia="黑体" w:cs="黑体"/>
          <w:snapToGrid w:val="0"/>
          <w:color w:val="000000"/>
          <w:spacing w:val="-4"/>
          <w:kern w:val="0"/>
          <w:sz w:val="31"/>
          <w:szCs w:val="31"/>
          <w:lang w:eastAsia="zh-CN"/>
        </w:rPr>
        <w:t>附件</w:t>
      </w:r>
    </w:p>
    <w:p w14:paraId="3B76675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napToGrid w:val="0"/>
          <w:color w:val="000000"/>
          <w:spacing w:val="21"/>
          <w:kern w:val="0"/>
          <w:sz w:val="43"/>
          <w:szCs w:val="43"/>
          <w:lang w:eastAsia="zh-CN"/>
        </w:rPr>
      </w:pPr>
      <w:r>
        <w:rPr>
          <w:rFonts w:hint="eastAsia" w:ascii="宋体" w:hAnsi="宋体" w:eastAsia="宋体" w:cs="宋体"/>
          <w:b/>
          <w:bCs/>
          <w:snapToGrid w:val="0"/>
          <w:color w:val="000000"/>
          <w:spacing w:val="21"/>
          <w:kern w:val="0"/>
          <w:sz w:val="43"/>
          <w:szCs w:val="43"/>
          <w:lang w:eastAsia="zh-CN"/>
        </w:rPr>
        <w:t>“典耀中华赓续文脉”</w:t>
      </w:r>
    </w:p>
    <w:p w14:paraId="22C5DC8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napToGrid w:val="0"/>
          <w:color w:val="000000"/>
          <w:spacing w:val="21"/>
          <w:kern w:val="0"/>
          <w:sz w:val="43"/>
          <w:szCs w:val="43"/>
          <w:lang w:eastAsia="zh-CN"/>
        </w:rPr>
      </w:pPr>
      <w:r>
        <w:rPr>
          <w:rFonts w:hint="eastAsia" w:ascii="宋体" w:hAnsi="宋体" w:eastAsia="宋体" w:cs="宋体"/>
          <w:b/>
          <w:bCs/>
          <w:snapToGrid w:val="0"/>
          <w:color w:val="000000"/>
          <w:spacing w:val="21"/>
          <w:kern w:val="0"/>
          <w:sz w:val="43"/>
          <w:szCs w:val="43"/>
          <w:lang w:eastAsia="zh-CN"/>
        </w:rPr>
        <w:t>中华经典诵读大赛方案</w:t>
      </w:r>
    </w:p>
    <w:p w14:paraId="391B706C">
      <w:pPr>
        <w:keepNext w:val="0"/>
        <w:keepLines w:val="0"/>
        <w:pageBreakBefore w:val="0"/>
        <w:wordWrap/>
        <w:overflowPunct/>
        <w:topLinePunct w:val="0"/>
        <w:bidi w:val="0"/>
        <w:spacing w:line="240" w:lineRule="auto"/>
        <w:ind w:left="0"/>
        <w:rPr>
          <w:rFonts w:hint="eastAsia"/>
        </w:rPr>
      </w:pPr>
    </w:p>
    <w:p w14:paraId="79A113C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00" w:firstLineChars="200"/>
        <w:jc w:val="left"/>
        <w:textAlignment w:val="baseline"/>
        <w:rPr>
          <w:rFonts w:hint="eastAsia" w:ascii="黑体" w:hAnsi="黑体" w:eastAsia="黑体" w:cs="黑体"/>
          <w:snapToGrid w:val="0"/>
          <w:color w:val="000000"/>
          <w:spacing w:val="5"/>
          <w:kern w:val="0"/>
          <w:sz w:val="24"/>
          <w:szCs w:val="24"/>
          <w:lang w:eastAsia="zh-CN"/>
        </w:rPr>
      </w:pPr>
      <w:r>
        <w:rPr>
          <w:rFonts w:hint="eastAsia" w:ascii="黑体" w:hAnsi="黑体" w:eastAsia="黑体" w:cs="黑体"/>
          <w:snapToGrid w:val="0"/>
          <w:color w:val="000000"/>
          <w:spacing w:val="5"/>
          <w:kern w:val="0"/>
          <w:sz w:val="24"/>
          <w:szCs w:val="24"/>
          <w:lang w:eastAsia="zh-CN"/>
        </w:rPr>
        <w:t>一、组织机构</w:t>
      </w:r>
    </w:p>
    <w:p w14:paraId="5855FE5C">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楷体" w:hAnsi="楷体" w:eastAsia="楷体" w:cs="楷体"/>
          <w:sz w:val="24"/>
          <w:szCs w:val="24"/>
        </w:rPr>
        <w:t>主办单位：</w:t>
      </w:r>
      <w:r>
        <w:rPr>
          <w:rFonts w:hint="eastAsia" w:ascii="仿宋" w:hAnsi="仿宋" w:eastAsia="仿宋" w:cs="仿宋"/>
          <w:sz w:val="24"/>
          <w:szCs w:val="24"/>
        </w:rPr>
        <w:t>省教育厅</w:t>
      </w:r>
    </w:p>
    <w:p w14:paraId="4A75FE23">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楷体" w:hAnsi="楷体" w:eastAsia="楷体" w:cs="楷体"/>
          <w:sz w:val="24"/>
          <w:szCs w:val="24"/>
        </w:rPr>
        <w:t>联办单位：</w:t>
      </w:r>
      <w:r>
        <w:rPr>
          <w:rFonts w:hint="eastAsia" w:ascii="仿宋" w:hAnsi="仿宋" w:eastAsia="仿宋" w:cs="仿宋"/>
          <w:sz w:val="24"/>
          <w:szCs w:val="24"/>
        </w:rPr>
        <w:t>省全民阅读促进会、江苏凤凰新华书店集团有限公司、《画刊·国学》杂志社</w:t>
      </w:r>
    </w:p>
    <w:p w14:paraId="686B1EA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00" w:firstLineChars="200"/>
        <w:jc w:val="left"/>
        <w:textAlignment w:val="baseline"/>
        <w:rPr>
          <w:rFonts w:hint="eastAsia" w:ascii="黑体" w:hAnsi="黑体" w:eastAsia="黑体" w:cs="黑体"/>
          <w:snapToGrid w:val="0"/>
          <w:color w:val="000000"/>
          <w:spacing w:val="5"/>
          <w:kern w:val="0"/>
          <w:sz w:val="24"/>
          <w:szCs w:val="24"/>
          <w:lang w:eastAsia="zh-CN"/>
        </w:rPr>
      </w:pPr>
      <w:r>
        <w:rPr>
          <w:rFonts w:hint="eastAsia" w:ascii="黑体" w:hAnsi="黑体" w:eastAsia="黑体" w:cs="黑体"/>
          <w:snapToGrid w:val="0"/>
          <w:color w:val="000000"/>
          <w:spacing w:val="5"/>
          <w:kern w:val="0"/>
          <w:sz w:val="24"/>
          <w:szCs w:val="24"/>
          <w:lang w:eastAsia="zh-CN"/>
        </w:rPr>
        <w:t>二、参赛对象与组别</w:t>
      </w:r>
    </w:p>
    <w:p w14:paraId="36A25C3A">
      <w:pPr>
        <w:keepNext w:val="0"/>
        <w:keepLines w:val="0"/>
        <w:pageBreakBefore w:val="0"/>
        <w:wordWrap/>
        <w:overflowPunct/>
        <w:topLinePunct w:val="0"/>
        <w:bidi w:val="0"/>
        <w:spacing w:line="240" w:lineRule="auto"/>
        <w:ind w:left="0" w:firstLine="480" w:firstLineChars="200"/>
        <w:jc w:val="left"/>
        <w:rPr>
          <w:rFonts w:hint="eastAsia" w:ascii="楷体" w:hAnsi="楷体" w:eastAsia="楷体" w:cs="楷体"/>
          <w:sz w:val="24"/>
          <w:szCs w:val="24"/>
        </w:rPr>
      </w:pPr>
      <w:r>
        <w:rPr>
          <w:rFonts w:hint="eastAsia" w:ascii="楷体" w:hAnsi="楷体" w:eastAsia="楷体" w:cs="楷体"/>
          <w:sz w:val="24"/>
          <w:szCs w:val="24"/>
        </w:rPr>
        <w:t>（一）参赛对象</w:t>
      </w:r>
    </w:p>
    <w:p w14:paraId="664B7658">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全省大中小学校在校学生、在职教师、社会人员。</w:t>
      </w:r>
    </w:p>
    <w:p w14:paraId="3E4F301F">
      <w:pPr>
        <w:keepNext w:val="0"/>
        <w:keepLines w:val="0"/>
        <w:pageBreakBefore w:val="0"/>
        <w:wordWrap/>
        <w:overflowPunct/>
        <w:topLinePunct w:val="0"/>
        <w:bidi w:val="0"/>
        <w:spacing w:line="240" w:lineRule="auto"/>
        <w:ind w:left="0" w:firstLine="480" w:firstLineChars="200"/>
        <w:jc w:val="left"/>
        <w:rPr>
          <w:rFonts w:hint="eastAsia" w:ascii="楷体" w:hAnsi="楷体" w:eastAsia="楷体" w:cs="楷体"/>
          <w:sz w:val="24"/>
          <w:szCs w:val="24"/>
        </w:rPr>
      </w:pPr>
      <w:r>
        <w:rPr>
          <w:rFonts w:hint="eastAsia" w:ascii="楷体" w:hAnsi="楷体" w:eastAsia="楷体" w:cs="楷体"/>
          <w:sz w:val="24"/>
          <w:szCs w:val="24"/>
        </w:rPr>
        <w:t>（二）组别设置</w:t>
      </w:r>
      <w:bookmarkStart w:id="0" w:name="_GoBack"/>
      <w:bookmarkEnd w:id="0"/>
    </w:p>
    <w:p w14:paraId="04529076">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分为小学生组、中学生组、职业学校学生组（含中、高职学生）、大学生组（含研究生）、留学生组（在华留学生）、教师组（含幼儿园在职教师）及社会人员组（鼓励家庭成员组队、鼓励退休人员组队），共7个组别。</w:t>
      </w:r>
    </w:p>
    <w:p w14:paraId="4485BA35">
      <w:pPr>
        <w:keepNext w:val="0"/>
        <w:keepLines w:val="0"/>
        <w:pageBreakBefore w:val="0"/>
        <w:wordWrap/>
        <w:overflowPunct/>
        <w:topLinePunct w:val="0"/>
        <w:bidi w:val="0"/>
        <w:spacing w:line="240" w:lineRule="auto"/>
        <w:ind w:left="0" w:firstLine="480" w:firstLineChars="200"/>
        <w:jc w:val="left"/>
        <w:rPr>
          <w:rFonts w:hint="eastAsia" w:ascii="楷体" w:hAnsi="楷体" w:eastAsia="楷体" w:cs="楷体"/>
          <w:sz w:val="24"/>
          <w:szCs w:val="24"/>
        </w:rPr>
      </w:pPr>
      <w:r>
        <w:rPr>
          <w:rFonts w:hint="eastAsia" w:ascii="楷体" w:hAnsi="楷体" w:eastAsia="楷体" w:cs="楷体"/>
          <w:sz w:val="24"/>
          <w:szCs w:val="24"/>
        </w:rPr>
        <w:t>（三）注意事项</w:t>
      </w:r>
    </w:p>
    <w:p w14:paraId="0175E610">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1.每组可个人参赛，也可2人（含）以上组成团队参赛，其中团队参赛人数不超过20人。参赛过程中人员不得替换、不得增加。</w:t>
      </w:r>
    </w:p>
    <w:p w14:paraId="6085C182">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2.社会人员组至少有1名社会人员。除社会人员组外，其他组别的参赛者仅限本组组别人员，不得跨组参赛。</w:t>
      </w:r>
    </w:p>
    <w:p w14:paraId="6A65C65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00" w:firstLineChars="200"/>
        <w:jc w:val="left"/>
        <w:textAlignment w:val="baseline"/>
        <w:rPr>
          <w:rFonts w:hint="eastAsia" w:ascii="黑体" w:hAnsi="黑体" w:eastAsia="黑体" w:cs="黑体"/>
          <w:snapToGrid w:val="0"/>
          <w:color w:val="000000"/>
          <w:spacing w:val="5"/>
          <w:kern w:val="0"/>
          <w:sz w:val="24"/>
          <w:szCs w:val="24"/>
          <w:lang w:eastAsia="zh-CN"/>
        </w:rPr>
      </w:pPr>
      <w:r>
        <w:rPr>
          <w:rFonts w:hint="eastAsia" w:ascii="黑体" w:hAnsi="黑体" w:eastAsia="黑体" w:cs="黑体"/>
          <w:snapToGrid w:val="0"/>
          <w:color w:val="000000"/>
          <w:spacing w:val="5"/>
          <w:kern w:val="0"/>
          <w:sz w:val="24"/>
          <w:szCs w:val="24"/>
          <w:lang w:eastAsia="zh-CN"/>
        </w:rPr>
        <w:t>三、参赛要求</w:t>
      </w:r>
    </w:p>
    <w:p w14:paraId="4B14C26D">
      <w:pPr>
        <w:keepNext w:val="0"/>
        <w:keepLines w:val="0"/>
        <w:pageBreakBefore w:val="0"/>
        <w:wordWrap/>
        <w:overflowPunct/>
        <w:topLinePunct w:val="0"/>
        <w:bidi w:val="0"/>
        <w:spacing w:line="240" w:lineRule="auto"/>
        <w:ind w:left="0" w:firstLine="480" w:firstLineChars="200"/>
        <w:jc w:val="left"/>
        <w:rPr>
          <w:rFonts w:hint="eastAsia" w:ascii="楷体" w:hAnsi="楷体" w:eastAsia="楷体" w:cs="楷体"/>
          <w:sz w:val="24"/>
          <w:szCs w:val="24"/>
        </w:rPr>
      </w:pPr>
      <w:r>
        <w:rPr>
          <w:rFonts w:hint="eastAsia" w:ascii="楷体" w:hAnsi="楷体" w:eastAsia="楷体" w:cs="楷体"/>
          <w:sz w:val="24"/>
          <w:szCs w:val="24"/>
        </w:rPr>
        <w:t>（一）内容要求</w:t>
      </w:r>
    </w:p>
    <w:p w14:paraId="09E74156">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我国古代、近现代和当代有社会影响力和典范价值的，体现中华优秀文化的经典诗词、文章和优秀图书内容节选。当代作品应已正式出版或由省级以上广播电视等主流媒体公开发布或发表，出版、发表时间至少2年以上，并被广泛传播。中小学生（含中职）参赛者可优先从统编语文教材中选择作品。诵读文本主体前后可根据需要增加总计不超过200字的过渡语（计入总时长）。改编、网络以及自创文本不在征集之列。</w:t>
      </w:r>
    </w:p>
    <w:p w14:paraId="2783D5BC">
      <w:pPr>
        <w:keepNext w:val="0"/>
        <w:keepLines w:val="0"/>
        <w:pageBreakBefore w:val="0"/>
        <w:wordWrap/>
        <w:overflowPunct/>
        <w:topLinePunct w:val="0"/>
        <w:bidi w:val="0"/>
        <w:spacing w:line="240" w:lineRule="auto"/>
        <w:ind w:left="0" w:firstLine="480" w:firstLineChars="200"/>
        <w:jc w:val="left"/>
        <w:rPr>
          <w:rFonts w:hint="eastAsia" w:ascii="楷体" w:hAnsi="楷体" w:eastAsia="楷体" w:cs="楷体"/>
          <w:sz w:val="24"/>
          <w:szCs w:val="24"/>
        </w:rPr>
      </w:pPr>
      <w:r>
        <w:rPr>
          <w:rFonts w:hint="eastAsia" w:ascii="楷体" w:hAnsi="楷体" w:eastAsia="楷体" w:cs="楷体"/>
          <w:sz w:val="24"/>
          <w:szCs w:val="24"/>
        </w:rPr>
        <w:t>（二）形式要求</w:t>
      </w:r>
    </w:p>
    <w:p w14:paraId="108D646D">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参赛作品要求为2025年新创作录制的视频，高清1920*1080横屏拍摄，格式为MP4，长度为3—6分钟，大小不超过700MB，图像、声音清晰，不抖动、无噪音。视频作品必须同期录音，不得后期配音。录制仅限一个场地，不得切换多个场地。</w:t>
      </w:r>
    </w:p>
    <w:p w14:paraId="15960415">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视频文字建议使用方正字库字体或其他有版权的字体，视频中不得使用未经肖像权人同意的肖像，不得使用未经授权的图片、音频和视频，应使用正确表示国家版图的地图，不得出现与诵读大赛无关的条幅、角标等。</w:t>
      </w:r>
    </w:p>
    <w:p w14:paraId="2A819E6C">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视频作品不能出现参赛者和指导教师的名字、学校或所在单位、所在地区等信息。</w:t>
      </w:r>
    </w:p>
    <w:p w14:paraId="792E8C5E">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赛事平台填报信息时应准确、规范、完整填写。作品标题、所在学校或单位等信息须用全称。作品标题、作品信息不得出现错别字、错误名称、不规范表述等。作品提交后，相关信息不得更改。</w:t>
      </w:r>
    </w:p>
    <w:p w14:paraId="721AD745">
      <w:pPr>
        <w:keepNext w:val="0"/>
        <w:keepLines w:val="0"/>
        <w:pageBreakBefore w:val="0"/>
        <w:wordWrap/>
        <w:overflowPunct/>
        <w:topLinePunct w:val="0"/>
        <w:bidi w:val="0"/>
        <w:spacing w:line="240" w:lineRule="auto"/>
        <w:ind w:left="0" w:firstLine="480" w:firstLineChars="200"/>
        <w:jc w:val="left"/>
        <w:rPr>
          <w:rFonts w:hint="eastAsia" w:ascii="楷体" w:hAnsi="楷体" w:eastAsia="楷体" w:cs="楷体"/>
          <w:sz w:val="24"/>
          <w:szCs w:val="24"/>
        </w:rPr>
      </w:pPr>
      <w:r>
        <w:rPr>
          <w:rFonts w:hint="eastAsia" w:ascii="楷体" w:hAnsi="楷体" w:eastAsia="楷体" w:cs="楷体"/>
          <w:sz w:val="24"/>
          <w:szCs w:val="24"/>
        </w:rPr>
        <w:t>（三）其他要求</w:t>
      </w:r>
    </w:p>
    <w:p w14:paraId="5C073086">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作品应以诵读为主，重在用音声之美表情达意，可适当借助吟诵、音乐、服装等手段融合展现诵读内容。鼓励以团队形式诵读。</w:t>
      </w:r>
    </w:p>
    <w:p w14:paraId="3EC5C226">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每人最多可参与个人或团队诵读作品1件。每件作品的指导教师不超过2人。同一作品的参赛者不得同时署名该作品的指导教师。指导教师应当具备相应的专业能力，能为参赛者提供专业指导。多件作品获得省级一等奖及以上的同一指导老师不重复获得优秀指导教师奖。</w:t>
      </w:r>
    </w:p>
    <w:p w14:paraId="21B5CCE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00" w:firstLineChars="200"/>
        <w:jc w:val="left"/>
        <w:textAlignment w:val="baseline"/>
        <w:rPr>
          <w:rFonts w:hint="eastAsia" w:ascii="黑体" w:hAnsi="黑体" w:eastAsia="黑体" w:cs="黑体"/>
          <w:snapToGrid w:val="0"/>
          <w:color w:val="000000"/>
          <w:spacing w:val="5"/>
          <w:kern w:val="0"/>
          <w:sz w:val="24"/>
          <w:szCs w:val="24"/>
          <w:lang w:eastAsia="zh-CN"/>
        </w:rPr>
      </w:pPr>
      <w:r>
        <w:rPr>
          <w:rFonts w:hint="eastAsia" w:ascii="黑体" w:hAnsi="黑体" w:eastAsia="黑体" w:cs="黑体"/>
          <w:snapToGrid w:val="0"/>
          <w:color w:val="000000"/>
          <w:spacing w:val="5"/>
          <w:kern w:val="0"/>
          <w:sz w:val="24"/>
          <w:szCs w:val="24"/>
          <w:lang w:eastAsia="zh-CN"/>
        </w:rPr>
        <w:t>四、赛事组织</w:t>
      </w:r>
    </w:p>
    <w:p w14:paraId="43860543">
      <w:pPr>
        <w:keepNext w:val="0"/>
        <w:keepLines w:val="0"/>
        <w:pageBreakBefore w:val="0"/>
        <w:wordWrap/>
        <w:overflowPunct/>
        <w:topLinePunct w:val="0"/>
        <w:bidi w:val="0"/>
        <w:spacing w:line="240" w:lineRule="auto"/>
        <w:ind w:left="0" w:firstLine="480" w:firstLineChars="200"/>
        <w:jc w:val="left"/>
        <w:rPr>
          <w:rFonts w:hint="eastAsia" w:ascii="楷体" w:hAnsi="楷体" w:eastAsia="楷体" w:cs="楷体"/>
          <w:sz w:val="24"/>
          <w:szCs w:val="24"/>
        </w:rPr>
      </w:pPr>
      <w:r>
        <w:rPr>
          <w:rFonts w:hint="eastAsia" w:ascii="楷体" w:hAnsi="楷体" w:eastAsia="楷体" w:cs="楷体"/>
          <w:sz w:val="24"/>
          <w:szCs w:val="24"/>
        </w:rPr>
        <w:t>（一）初赛（3月底至5月20日）</w:t>
      </w:r>
    </w:p>
    <w:p w14:paraId="619F0527">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1.由各县（市、区）和高校自行组织，形式自定。2.根据初赛结果，遴选作品参加复赛，数量不限。</w:t>
      </w:r>
    </w:p>
    <w:p w14:paraId="3139DF9B">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各县（市、区）教育部门负责小学生、中学生（含中职）、教师（中小学及幼儿园在职教师）和社会人员等推荐工作。高校（含高职）负责大学生（含研究生）、留学生（在华留学生）、教师（高校）等推荐工作。</w:t>
      </w:r>
    </w:p>
    <w:p w14:paraId="174414C2">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中、高职学校学生报送及上传作品时，请注明“职业学校学生组”。</w:t>
      </w:r>
    </w:p>
    <w:p w14:paraId="6DA73489">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3.各县（市、区）作品由县级教育部门收集、新华书店负责形式把关并上传。高校（含高职）作品由《画刊·国学》杂志社负责收集、上传。</w:t>
      </w:r>
    </w:p>
    <w:p w14:paraId="3F1F6937">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5月20日前，各县（市、区）作品上传至江苏凤凰新华书店集团公众号“凤凰优学驿站”（微信公众号：FHYXYZWJ）。5月30日前，高校（含高职）作品发送至大赛组委会邮箱：jszhjdsd@163.com。</w:t>
      </w:r>
    </w:p>
    <w:p w14:paraId="2DA85F1D">
      <w:pPr>
        <w:keepNext w:val="0"/>
        <w:keepLines w:val="0"/>
        <w:pageBreakBefore w:val="0"/>
        <w:wordWrap/>
        <w:overflowPunct/>
        <w:topLinePunct w:val="0"/>
        <w:bidi w:val="0"/>
        <w:spacing w:line="240" w:lineRule="auto"/>
        <w:ind w:left="0" w:firstLine="480" w:firstLineChars="200"/>
        <w:jc w:val="left"/>
        <w:rPr>
          <w:rFonts w:hint="eastAsia" w:ascii="楷体" w:hAnsi="楷体" w:eastAsia="楷体" w:cs="楷体"/>
          <w:sz w:val="24"/>
          <w:szCs w:val="24"/>
        </w:rPr>
      </w:pPr>
      <w:r>
        <w:rPr>
          <w:rFonts w:hint="eastAsia" w:ascii="楷体" w:hAnsi="楷体" w:eastAsia="楷体" w:cs="楷体"/>
          <w:sz w:val="24"/>
          <w:szCs w:val="24"/>
        </w:rPr>
        <w:t>（二）推荐（5月21日至6月5日）</w:t>
      </w:r>
    </w:p>
    <w:p w14:paraId="59905EC7">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1.推荐数量。由各设区市教育部门牵头，会同新华书店对本地上传作品进行线上评审，择优推荐参加省级复赛。推荐数量要求为：每市每组推荐作品数不超过本市该组参赛作品的10%，且推荐总数不低于150件。</w:t>
      </w:r>
    </w:p>
    <w:p w14:paraId="772646F2">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2.推荐要求。市级推荐的作品中，每个学校或单位在同一组别中被推荐作品不超过2件。高校（含高职）推荐的作品中，同一组别不超过5件。每个参赛者被推荐作品限1件。团队参赛作品占比不低于一半。</w:t>
      </w:r>
    </w:p>
    <w:p w14:paraId="2A42D8DA">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3.知识测评。各地各校推荐作品的参赛者需登录全国大赛官网（https://jdsxj.edvyvn.cn）参加语言文字知识及诵读常识测评，每人可进行多次测评，系统确定最高分为最终成绩（测评成绩不计入复赛），60分以上为测评合格，合格者方可获得参加省级复赛资格。团队参赛只需1名参赛者完成测评。</w:t>
      </w:r>
    </w:p>
    <w:p w14:paraId="6D2BB865">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4.提交时间。6月5日前，各设区市、各高校（含高职）将《推荐作品汇总表》报至大赛组委会邮箱：jszhjdsd@163.com。</w:t>
      </w:r>
    </w:p>
    <w:p w14:paraId="5297563C">
      <w:pPr>
        <w:keepNext w:val="0"/>
        <w:keepLines w:val="0"/>
        <w:pageBreakBefore w:val="0"/>
        <w:wordWrap/>
        <w:overflowPunct/>
        <w:topLinePunct w:val="0"/>
        <w:bidi w:val="0"/>
        <w:spacing w:line="240" w:lineRule="auto"/>
        <w:ind w:left="0" w:firstLine="480" w:firstLineChars="200"/>
        <w:jc w:val="left"/>
        <w:rPr>
          <w:rFonts w:hint="eastAsia" w:ascii="楷体" w:hAnsi="楷体" w:eastAsia="楷体" w:cs="楷体"/>
          <w:sz w:val="24"/>
          <w:szCs w:val="24"/>
        </w:rPr>
      </w:pPr>
      <w:r>
        <w:rPr>
          <w:rFonts w:hint="eastAsia" w:ascii="楷体" w:hAnsi="楷体" w:eastAsia="楷体" w:cs="楷体"/>
          <w:sz w:val="24"/>
          <w:szCs w:val="24"/>
        </w:rPr>
        <w:t>（三）省级复赛（6月6日至7月10日）</w:t>
      </w:r>
    </w:p>
    <w:p w14:paraId="54214048">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7月10日前完成省级复赛。8月底前，公布复赛结果。</w:t>
      </w:r>
    </w:p>
    <w:p w14:paraId="5897113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00" w:firstLineChars="200"/>
        <w:jc w:val="left"/>
        <w:textAlignment w:val="baseline"/>
        <w:rPr>
          <w:rFonts w:hint="eastAsia" w:ascii="黑体" w:hAnsi="黑体" w:eastAsia="黑体" w:cs="黑体"/>
          <w:snapToGrid w:val="0"/>
          <w:color w:val="000000"/>
          <w:spacing w:val="5"/>
          <w:kern w:val="0"/>
          <w:sz w:val="24"/>
          <w:szCs w:val="24"/>
          <w:lang w:eastAsia="zh-CN"/>
        </w:rPr>
      </w:pPr>
      <w:r>
        <w:rPr>
          <w:rFonts w:hint="eastAsia" w:ascii="黑体" w:hAnsi="黑体" w:eastAsia="黑体" w:cs="黑体"/>
          <w:snapToGrid w:val="0"/>
          <w:color w:val="000000"/>
          <w:spacing w:val="5"/>
          <w:kern w:val="0"/>
          <w:sz w:val="24"/>
          <w:szCs w:val="24"/>
          <w:lang w:eastAsia="zh-CN"/>
        </w:rPr>
        <w:t>五、奖项设置</w:t>
      </w:r>
    </w:p>
    <w:p w14:paraId="52658C0B">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根据参赛作品数量，每组别按比例评选特等奖（3%）、一等奖（6%）、二等奖（10%）、三等奖（15%）和优秀奖（20%），其中小学生、中学生两个组别的颁奖对象为所在学校，证书将载明指导教师、参赛学生姓名等信息。特、一等奖作品指导教师授予“优秀指导教师奖”。本届比赛将采用电子证书。获奖单位和选手在名次公布后，自行登录“凤凰优学驿站”点击链接下载。</w:t>
      </w:r>
    </w:p>
    <w:p w14:paraId="5C457044">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特等奖、一等奖作品推荐参加全国第七届中华经典诵写讲大赛“诵读中国”经典诵读大赛。各设区市从中学生、小学生两个组别的优秀作品中各遴选2件作品（苏州市各3件作品）参加在第十五届江苏</w:t>
      </w:r>
      <w:r>
        <w:rPr>
          <w:rFonts w:hint="eastAsia" w:ascii="仿宋" w:hAnsi="仿宋" w:eastAsia="仿宋" w:cs="仿宋"/>
          <w:sz w:val="24"/>
          <w:szCs w:val="24"/>
          <w:lang w:eastAsia="zh-CN"/>
        </w:rPr>
        <w:t>书展期间举行的“全省中小学生诵读大赛”（参赛事宜另行通知）。</w:t>
      </w:r>
    </w:p>
    <w:p w14:paraId="3022508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00" w:firstLineChars="200"/>
        <w:jc w:val="left"/>
        <w:textAlignment w:val="baseline"/>
        <w:rPr>
          <w:rFonts w:hint="eastAsia" w:ascii="黑体" w:hAnsi="黑体" w:eastAsia="黑体" w:cs="黑体"/>
          <w:snapToGrid w:val="0"/>
          <w:color w:val="000000"/>
          <w:spacing w:val="5"/>
          <w:kern w:val="0"/>
          <w:sz w:val="24"/>
          <w:szCs w:val="24"/>
          <w:lang w:eastAsia="zh-CN"/>
        </w:rPr>
      </w:pPr>
      <w:r>
        <w:rPr>
          <w:rFonts w:hint="eastAsia" w:ascii="黑体" w:hAnsi="黑体" w:eastAsia="黑体" w:cs="黑体"/>
          <w:snapToGrid w:val="0"/>
          <w:color w:val="000000"/>
          <w:spacing w:val="5"/>
          <w:kern w:val="0"/>
          <w:sz w:val="24"/>
          <w:szCs w:val="24"/>
          <w:lang w:eastAsia="zh-CN"/>
        </w:rPr>
        <w:t>六、其他事项</w:t>
      </w:r>
    </w:p>
    <w:p w14:paraId="7F5A7B86">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（一）大赛坚持公益性原则，任何单位不得以任何名义向参赛者收取费用。</w:t>
      </w:r>
    </w:p>
    <w:p w14:paraId="6665A321">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（二）大赛组委会享有对参赛作品进行公益性展示、出版、汇编、发行及信息网络传播等权益，参赛者拥有署名权。</w:t>
      </w:r>
    </w:p>
    <w:p w14:paraId="4F4AD49C">
      <w:pPr>
        <w:keepNext w:val="0"/>
        <w:keepLines w:val="0"/>
        <w:pageBreakBefore w:val="0"/>
        <w:wordWrap/>
        <w:overflowPunct/>
        <w:topLinePunct w:val="0"/>
        <w:bidi w:val="0"/>
        <w:spacing w:line="24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联系人：单适（省教育厅），电话：025-83335155；刘桢畅（《画刊·国学》杂志社），电话：025-85717887，大赛组委会邮箱：jszhjdsd@163.com。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黑体简体">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N2U3MjY2MjBmYTIyYTlmMTdmYTczODRiZjk4ZDYifQ=="/>
  </w:docVars>
  <w:rsids>
    <w:rsidRoot w:val="00000000"/>
    <w:rsid w:val="340E6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2025-04-22T05:38:14Z</dcterms:created>
  <dc:creator>1</dc:creator>
  <cp:lastModifiedBy>李小乐</cp:lastModifiedBy>
  <dcterms:modified xsi:type="dcterms:W3CDTF">2025-04-22T05:46:49Z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CC237C6EBCD645009315DC050D72EEDD_12</vt:lpwstr>
  </property>
</Properties>
</file>